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1B" w:rsidRDefault="0063431B" w:rsidP="00A8368C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A8368C" w:rsidRPr="00A8368C" w:rsidRDefault="00A8368C" w:rsidP="00A8368C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8368C">
        <w:rPr>
          <w:rFonts w:hAnsi="Times New Roman" w:cs="Times New Roman"/>
          <w:bCs/>
          <w:color w:val="000000"/>
          <w:sz w:val="24"/>
          <w:szCs w:val="24"/>
          <w:lang w:val="ru-RU"/>
        </w:rPr>
        <w:t>Приложение к приказу № 97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30.12.2019 г.</w:t>
      </w:r>
    </w:p>
    <w:p w:rsidR="00A8368C" w:rsidRDefault="00A8368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09EF" w:rsidRPr="00FF4BF1" w:rsidRDefault="00386D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</w:p>
    <w:p w:rsidR="007109EF" w:rsidRPr="00FF4BF1" w:rsidRDefault="00386D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109EF" w:rsidRPr="00FF4BF1" w:rsidRDefault="00386D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A8368C">
        <w:rPr>
          <w:rFonts w:hAnsi="Times New Roman" w:cs="Times New Roman"/>
          <w:color w:val="000000"/>
          <w:sz w:val="24"/>
          <w:szCs w:val="24"/>
          <w:lang w:val="ru-RU"/>
        </w:rPr>
        <w:t>МБУК«МКЦ г</w:t>
      </w:r>
      <w:proofErr w:type="gramStart"/>
      <w:r w:rsidR="00A8368C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A8368C">
        <w:rPr>
          <w:rFonts w:hAnsi="Times New Roman" w:cs="Times New Roman"/>
          <w:color w:val="000000"/>
          <w:sz w:val="24"/>
          <w:szCs w:val="24"/>
          <w:lang w:val="ru-RU"/>
        </w:rPr>
        <w:t xml:space="preserve">язани» 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(далее –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соответствии:</w:t>
      </w:r>
    </w:p>
    <w:p w:rsidR="007109EF" w:rsidRDefault="00386D4D" w:rsidP="00A836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 (государственных органов), органов местного самоуправления,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(далее – Инструкция к Единому плану счетов № 157н);</w:t>
      </w:r>
    </w:p>
    <w:p w:rsidR="007109EF" w:rsidRDefault="00386D4D" w:rsidP="00A836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174н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бюджетных учреждений и Инструкции по его применению»</w:t>
      </w:r>
      <w:r>
        <w:rPr>
          <w:rFonts w:hAnsi="Times New Roman" w:cs="Times New Roman"/>
          <w:color w:val="000000"/>
          <w:sz w:val="24"/>
          <w:szCs w:val="24"/>
        </w:rPr>
        <w:t xml:space="preserve"> (далее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–И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нструкция № 174н);</w:t>
      </w:r>
    </w:p>
    <w:p w:rsidR="007109EF" w:rsidRPr="00FF4BF1" w:rsidRDefault="00386D4D" w:rsidP="00A836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7109EF" w:rsidRPr="00FF4BF1" w:rsidRDefault="00386D4D" w:rsidP="00A836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</w:t>
      </w:r>
      <w:proofErr w:type="gramStart"/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 – приказ № 209н);</w:t>
      </w:r>
    </w:p>
    <w:p w:rsidR="007109EF" w:rsidRDefault="00386D4D" w:rsidP="00A836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(далее – приказ № 52н);</w:t>
      </w:r>
    </w:p>
    <w:p w:rsidR="007109EF" w:rsidRPr="00AE032F" w:rsidRDefault="00386D4D" w:rsidP="00A8368C">
      <w:pPr>
        <w:numPr>
          <w:ilvl w:val="0"/>
          <w:numId w:val="1"/>
        </w:numPr>
        <w:ind w:left="780" w:right="180"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AE032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</w:t>
      </w:r>
      <w:r w:rsidRPr="00AE03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СГС «Нематериальные активы», СГС «Затраты по заимствованиям», СГС В части исполнения полномочий получателя бюджетных средств</w:t>
      </w:r>
      <w:r w:rsidRPr="00AE032F">
        <w:rPr>
          <w:rFonts w:hAnsi="Times New Roman" w:cs="Times New Roman"/>
          <w:color w:val="000000"/>
          <w:sz w:val="24"/>
          <w:szCs w:val="24"/>
        </w:rPr>
        <w:t> </w:t>
      </w:r>
      <w:r w:rsidRPr="00AE032F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 в соответствии с приказом Минфина от 06.12.2010 №162н «Об утверждении плана</w:t>
      </w:r>
      <w:r w:rsidRPr="00AE032F">
        <w:rPr>
          <w:rFonts w:hAnsi="Times New Roman" w:cs="Times New Roman"/>
          <w:color w:val="000000"/>
          <w:sz w:val="24"/>
          <w:szCs w:val="24"/>
        </w:rPr>
        <w:t> </w:t>
      </w:r>
      <w:r w:rsidRPr="00AE032F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счетов бюджетного учета и Инструкции по его применению» </w:t>
      </w:r>
      <w:r w:rsidRPr="00AE032F">
        <w:rPr>
          <w:rFonts w:hAnsi="Times New Roman" w:cs="Times New Roman"/>
          <w:color w:val="000000"/>
          <w:sz w:val="24"/>
          <w:szCs w:val="24"/>
        </w:rPr>
        <w:t>(далее – Инструкция № 162н).</w:t>
      </w:r>
    </w:p>
    <w:p w:rsidR="007109EF" w:rsidRDefault="00386D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60"/>
        <w:gridCol w:w="7317"/>
      </w:tblGrid>
      <w:tr w:rsidR="007109E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7109E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Pr="00A8368C" w:rsidRDefault="00A836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МБУК «МКЦ г.Рязани»</w:t>
            </w:r>
          </w:p>
        </w:tc>
      </w:tr>
      <w:tr w:rsidR="007109EF" w:rsidRPr="005D784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Pr="00FF4BF1" w:rsidRDefault="00386D4D">
            <w:pPr>
              <w:rPr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7109EF" w:rsidRPr="005D784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Pr="00FF4BF1" w:rsidRDefault="00386D4D">
            <w:pPr>
              <w:rPr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FF4BF1">
              <w:rPr>
                <w:lang w:val="ru-RU"/>
              </w:rPr>
              <w:br/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– 18-й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FF4BF1">
              <w:rPr>
                <w:lang w:val="ru-RU"/>
              </w:rPr>
              <w:br/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– 24-26-е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7109EF" w:rsidRPr="005D7843"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Pr="00FF4BF1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Pr="00FF4BF1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09EF" w:rsidRPr="00FF4BF1" w:rsidRDefault="00386D4D" w:rsidP="0063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7109EF" w:rsidRPr="00FF4BF1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Бухгалтерский учет</w:t>
      </w:r>
      <w:r w:rsidR="00A04124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="0063431B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="00AE032F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бухгалтерской службой</w:t>
      </w:r>
      <w:r w:rsidR="00A04124">
        <w:rPr>
          <w:rFonts w:hAnsi="Times New Roman" w:cs="Times New Roman"/>
          <w:color w:val="000000"/>
          <w:sz w:val="24"/>
          <w:szCs w:val="24"/>
          <w:lang w:val="ru-RU"/>
        </w:rPr>
        <w:t>, которую возглавляетглавный бухгалтер.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Сотрудники бухгалтерии руководствуются в работедолжностными инструкциями.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бухгалтер. 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кЕдиному плану счетов № 157н.</w:t>
      </w:r>
    </w:p>
    <w:p w:rsidR="007109EF" w:rsidRPr="00FF4BF1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 учреждении действуют постоянные комиссии</w:t>
      </w:r>
      <w:r w:rsidR="00AE032F">
        <w:rPr>
          <w:rFonts w:hAnsi="Times New Roman" w:cs="Times New Roman"/>
          <w:color w:val="000000"/>
          <w:sz w:val="24"/>
          <w:szCs w:val="24"/>
          <w:lang w:val="ru-RU"/>
        </w:rPr>
        <w:t>, которые назначаются приказом руководителя учреждения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: комиссия по поступлению и выбытию активов</w:t>
      </w:r>
      <w:r w:rsidR="00AE032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инвентаризационная</w:t>
      </w:r>
      <w:r w:rsidR="00AE032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проведения внезапной ревизии кассы</w:t>
      </w:r>
      <w:r w:rsidR="00216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«Учетная политика, оценочные значения и ошибки».</w:t>
      </w:r>
    </w:p>
    <w:p w:rsidR="007109EF" w:rsidRPr="00FF4BF1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 внесении изменений в учетную политику главный бухгалтер оценивает 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сопоставления отчетности существенность изменения показателей, отражающих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 на основе своего профессионального суждения. Также на 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суждения оценивается существенность ошибок отчетного периода,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 Основание: пункты 17, 20, 32 СГС «Учетная политика, оценочные значения и ошибки».</w:t>
      </w:r>
    </w:p>
    <w:p w:rsidR="00216BBE" w:rsidRDefault="00216BBE" w:rsidP="00A8368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6BBE" w:rsidRDefault="00216BBE" w:rsidP="00A8368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09EF" w:rsidRPr="00216BBE" w:rsidRDefault="00386D4D" w:rsidP="0063431B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216BBE">
        <w:rPr>
          <w:rFonts w:cstheme="minorHAnsi"/>
          <w:b/>
          <w:bCs/>
          <w:color w:val="000000"/>
          <w:sz w:val="24"/>
          <w:szCs w:val="24"/>
        </w:rPr>
        <w:t>II</w:t>
      </w:r>
      <w:r w:rsidRPr="00216BBE">
        <w:rPr>
          <w:rFonts w:cstheme="minorHAnsi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216BBE" w:rsidRPr="00216BBE" w:rsidRDefault="00216BBE" w:rsidP="0063431B">
      <w:pPr>
        <w:pStyle w:val="a3"/>
        <w:ind w:firstLine="720"/>
        <w:rPr>
          <w:rFonts w:asciiTheme="minorHAnsi" w:hAnsiTheme="minorHAnsi" w:cstheme="minorHAnsi"/>
        </w:rPr>
      </w:pPr>
      <w:r w:rsidRPr="00216BBE">
        <w:rPr>
          <w:rFonts w:asciiTheme="minorHAnsi" w:hAnsiTheme="minorHAnsi" w:cstheme="minorHAnsi"/>
        </w:rPr>
        <w:t xml:space="preserve">Форма ведения бухгалтерского учета и формирования бухгалтерской отчетности определяется как автоматизированная, с применением компьютерной программы для ведения бухгалтерского учета – </w:t>
      </w:r>
      <w:r w:rsidRPr="00216BBE">
        <w:rPr>
          <w:rStyle w:val="printable"/>
          <w:rFonts w:asciiTheme="minorHAnsi" w:hAnsiTheme="minorHAnsi" w:cstheme="minorHAnsi"/>
        </w:rPr>
        <w:t xml:space="preserve">1 С </w:t>
      </w:r>
      <w:proofErr w:type="spellStart"/>
      <w:r w:rsidRPr="00216BBE">
        <w:rPr>
          <w:rStyle w:val="printable"/>
          <w:rFonts w:asciiTheme="minorHAnsi" w:hAnsiTheme="minorHAnsi" w:cstheme="minorHAnsi"/>
        </w:rPr>
        <w:t>фреш</w:t>
      </w:r>
      <w:proofErr w:type="spellEnd"/>
      <w:r w:rsidRPr="00216BBE">
        <w:rPr>
          <w:rFonts w:asciiTheme="minorHAnsi" w:hAnsiTheme="minorHAnsi" w:cstheme="minorHAnsi"/>
        </w:rPr>
        <w:t xml:space="preserve">, для расчетов с сотрудниками учреждения – </w:t>
      </w:r>
      <w:r w:rsidRPr="00216BBE">
        <w:rPr>
          <w:rStyle w:val="printable"/>
          <w:rFonts w:asciiTheme="minorHAnsi" w:hAnsiTheme="minorHAnsi" w:cstheme="minorHAnsi"/>
        </w:rPr>
        <w:t xml:space="preserve">Парус </w:t>
      </w:r>
      <w:r w:rsidRPr="00216BBE">
        <w:rPr>
          <w:rFonts w:asciiTheme="minorHAnsi" w:hAnsiTheme="minorHAnsi" w:cstheme="minorHAnsi"/>
        </w:rPr>
        <w:t xml:space="preserve">, для формирования отчетности – </w:t>
      </w:r>
      <w:r w:rsidRPr="00216BBE">
        <w:rPr>
          <w:rStyle w:val="printable"/>
          <w:rFonts w:asciiTheme="minorHAnsi" w:hAnsiTheme="minorHAnsi" w:cstheme="minorHAnsi"/>
        </w:rPr>
        <w:t>1</w:t>
      </w:r>
      <w:proofErr w:type="gramStart"/>
      <w:r w:rsidRPr="00216BBE">
        <w:rPr>
          <w:rStyle w:val="printable"/>
          <w:rFonts w:asciiTheme="minorHAnsi" w:hAnsiTheme="minorHAnsi" w:cstheme="minorHAnsi"/>
        </w:rPr>
        <w:t xml:space="preserve"> С</w:t>
      </w:r>
      <w:proofErr w:type="gramEnd"/>
      <w:r w:rsidRPr="00216BBE">
        <w:rPr>
          <w:rStyle w:val="printable"/>
          <w:rFonts w:asciiTheme="minorHAnsi" w:hAnsiTheme="minorHAnsi" w:cstheme="minorHAnsi"/>
        </w:rPr>
        <w:t xml:space="preserve"> </w:t>
      </w:r>
      <w:proofErr w:type="spellStart"/>
      <w:r w:rsidRPr="00216BBE">
        <w:rPr>
          <w:rStyle w:val="printable"/>
          <w:rFonts w:asciiTheme="minorHAnsi" w:hAnsiTheme="minorHAnsi" w:cstheme="minorHAnsi"/>
        </w:rPr>
        <w:t>фреш</w:t>
      </w:r>
      <w:proofErr w:type="spellEnd"/>
      <w:r w:rsidRPr="00216BBE">
        <w:rPr>
          <w:rFonts w:asciiTheme="minorHAnsi" w:hAnsiTheme="minorHAnsi" w:cstheme="minorHAnsi"/>
        </w:rPr>
        <w:t>.</w:t>
      </w:r>
    </w:p>
    <w:p w:rsidR="007109EF" w:rsidRPr="00FF4BF1" w:rsidRDefault="00386D4D" w:rsidP="0063431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7109EF" w:rsidRPr="00FF4BF1" w:rsidRDefault="00386D4D" w:rsidP="00A836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казначейства;</w:t>
      </w:r>
    </w:p>
    <w:p w:rsidR="007109EF" w:rsidRDefault="00386D4D" w:rsidP="00A836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r>
        <w:rPr>
          <w:rFonts w:hAnsi="Times New Roman" w:cs="Times New Roman"/>
          <w:color w:val="000000"/>
          <w:sz w:val="24"/>
          <w:szCs w:val="24"/>
        </w:rPr>
        <w:t>Федеральной налоговой службы;</w:t>
      </w:r>
    </w:p>
    <w:p w:rsidR="007109EF" w:rsidRPr="00FF4BF1" w:rsidRDefault="00386D4D" w:rsidP="00A836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7109EF" w:rsidRPr="00FF4BF1" w:rsidRDefault="00386D4D" w:rsidP="00A836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gov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431B" w:rsidRDefault="0063431B" w:rsidP="0063431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09EF" w:rsidRPr="00FF4BF1" w:rsidRDefault="00216BBE" w:rsidP="0063431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Электронная база</w:t>
      </w:r>
      <w:r w:rsidR="00386D4D"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бухгалтерского учета и</w:t>
      </w:r>
      <w:r w:rsidR="00386D4D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FF4BF1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хранится в облачном хранилище.</w:t>
      </w:r>
    </w:p>
    <w:p w:rsidR="007109EF" w:rsidRPr="00FF4BF1" w:rsidRDefault="00386D4D" w:rsidP="00216B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B544C5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Порядок 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устанавливаются в соответствии с приложением</w:t>
      </w:r>
      <w:r w:rsidR="00B544C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16B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учетнойполитике.</w:t>
      </w:r>
    </w:p>
    <w:p w:rsidR="007109EF" w:rsidRPr="00FF4BF1" w:rsidRDefault="00386D4D" w:rsidP="0063431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 проведении хозяйственных операций, для оформления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формы первичных документов из Приказа № 52н,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использует:</w:t>
      </w:r>
    </w:p>
    <w:p w:rsidR="007109EF" w:rsidRPr="00FF4BF1" w:rsidRDefault="00386D4D" w:rsidP="00A836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 из Приказа № 52н, дополненные необходимыми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реквизитами;</w:t>
      </w:r>
    </w:p>
    <w:p w:rsidR="007109EF" w:rsidRPr="00FF4BF1" w:rsidRDefault="00386D4D" w:rsidP="00A836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 из других нормативно-правовых актов;</w:t>
      </w:r>
    </w:p>
    <w:p w:rsidR="007109EF" w:rsidRPr="00FF4BF1" w:rsidRDefault="00386D4D" w:rsidP="00A8368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</w:t>
      </w:r>
      <w:r w:rsidR="00B544C5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приказами руководителя учреждения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431B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</w:p>
    <w:p w:rsidR="007109EF" w:rsidRPr="00FF4BF1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Право подписи учетных документов предоставлено должностным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перечисленным в приложении</w:t>
      </w:r>
      <w:r w:rsidR="00B544C5">
        <w:rPr>
          <w:rFonts w:hAnsi="Times New Roman" w:cs="Times New Roman"/>
          <w:color w:val="000000"/>
          <w:sz w:val="24"/>
          <w:szCs w:val="24"/>
          <w:lang w:val="ru-RU"/>
        </w:rPr>
        <w:t xml:space="preserve"> № 2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.Основание: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7109EF" w:rsidRPr="00FF4BF1" w:rsidRDefault="00386D4D" w:rsidP="0063431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 регистров бухучета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7109EF" w:rsidRPr="00FF4BF1" w:rsidRDefault="00386D4D" w:rsidP="00A836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первичного документа;</w:t>
      </w:r>
    </w:p>
    <w:p w:rsidR="007109EF" w:rsidRPr="00FF4BF1" w:rsidRDefault="00386D4D" w:rsidP="00A836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 последний рабочий день месяца;</w:t>
      </w:r>
    </w:p>
    <w:p w:rsidR="007109EF" w:rsidRPr="00FF4BF1" w:rsidRDefault="00386D4D" w:rsidP="00A836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объекта к учету, по мере внесения изменений (данных о переоценке,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– ежегодно, на последний рабочий день года, со сведениями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 начисленной амортизации;</w:t>
      </w:r>
    </w:p>
    <w:p w:rsidR="007109EF" w:rsidRPr="00FF4BF1" w:rsidRDefault="00386D4D" w:rsidP="00A836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принятии объектов к учету, по мере внесения изменений (данных о переоценке,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7109EF" w:rsidRPr="00FF4BF1" w:rsidRDefault="00386D4D" w:rsidP="00A836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средств, реестр карточек заполняются ежегодно,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года;</w:t>
      </w:r>
    </w:p>
    <w:p w:rsidR="007109EF" w:rsidRPr="00FF4BF1" w:rsidRDefault="00386D4D" w:rsidP="00A836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7109EF" w:rsidRPr="00FF4BF1" w:rsidRDefault="00386D4D" w:rsidP="00A8368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иное не установлено законодательством РФ.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политики, составляются отдельно.</w:t>
      </w:r>
    </w:p>
    <w:p w:rsidR="007109EF" w:rsidRPr="00FF4BF1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Журнал операций расчетов по оплате труда, денежному довольствию и стипендиям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(ф. 0504071) ведется раздельно по кодам финансового обеспечения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раздельно по счетам: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 начислениям на выплаты по оплате труда»;Основание: пункт 257 Инструкции к Единому плану счетов № 157н.</w:t>
      </w:r>
    </w:p>
    <w:p w:rsidR="007109EF" w:rsidRPr="00FF4BF1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Журналам операций присваиваются номера согласно </w:t>
      </w:r>
      <w:r w:rsidR="0063431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операциям, указанным в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74744C" w:rsidRDefault="00386D4D" w:rsidP="00634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Первичные и сводные учетные документы, бухгалтерские регистры составляются </w:t>
      </w:r>
      <w:r w:rsidR="0074744C" w:rsidRPr="00FF4BF1">
        <w:rPr>
          <w:rFonts w:hAnsi="Times New Roman" w:cs="Times New Roman"/>
          <w:color w:val="000000"/>
          <w:sz w:val="24"/>
          <w:szCs w:val="24"/>
          <w:lang w:val="ru-RU"/>
        </w:rPr>
        <w:t>на бумажном носителе</w:t>
      </w:r>
      <w:r w:rsidR="0074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F1A" w:rsidRDefault="00386D4D" w:rsidP="00701F1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Электронные документы, подписанные квалифицированной электронной подписью, хранятся в электронном виде на съемных носителях</w:t>
      </w:r>
      <w:r w:rsidR="0074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ведется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учета и движения электронных носителей. Журнал должен быть пронумерован,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учреждения на ответственного сотрудника учреждения.Основание: пункт 33 СГС «Концептуальные основы бухучета и отчетности», пункт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157н.</w:t>
      </w:r>
    </w:p>
    <w:p w:rsidR="007109EF" w:rsidRPr="00FF4BF1" w:rsidRDefault="00386D4D" w:rsidP="00701F1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применения первичных документов:</w:t>
      </w:r>
    </w:p>
    <w:p w:rsidR="007109EF" w:rsidRPr="00FF4BF1" w:rsidRDefault="00386D4D" w:rsidP="0074744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 приобретении и реализации основных средств, нематериальных и непроизведенных активов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приеме-передаче объектов нефинансовых активов (ф. 0504101).</w:t>
      </w:r>
    </w:p>
    <w:p w:rsidR="007109EF" w:rsidRPr="00FF4BF1" w:rsidRDefault="00386D4D" w:rsidP="0074744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(ф. 0306008).</w:t>
      </w:r>
    </w:p>
    <w:p w:rsidR="007109EF" w:rsidRPr="00FF4BF1" w:rsidRDefault="00386D4D" w:rsidP="0074744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На списание призов, подарков, сувениров оформляется Акт о 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0504230), к которому должен быть приложен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приказа руководителя о награждении с указанием перечня награжденных лиц.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награждение прошло в ходе проведения массового культурного мероприятия, к Акту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0504230) должны быть приложены</w:t>
      </w:r>
      <w:r w:rsidR="007474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протоколы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протокол о мероприятии</w:t>
      </w:r>
      <w:r w:rsidR="004351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386D4D" w:rsidP="0074744C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поступлении имущества и наличных денег от жертвователя или дарителя составляется </w:t>
      </w:r>
      <w:r w:rsidR="0074744C">
        <w:rPr>
          <w:rFonts w:hAnsi="Times New Roman" w:cs="Times New Roman"/>
          <w:color w:val="000000"/>
          <w:sz w:val="24"/>
          <w:szCs w:val="24"/>
          <w:lang w:val="ru-RU"/>
        </w:rPr>
        <w:t>договор пожертвования.</w:t>
      </w:r>
    </w:p>
    <w:p w:rsidR="007109EF" w:rsidRPr="00FF4BF1" w:rsidRDefault="00386D4D" w:rsidP="0074744C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В Табеле учета использования рабочего времени (ф. 0504421) регистрируются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случаи отклонений от нормального использования рабочего времени, установленного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правилами трудового распорядка.</w:t>
      </w:r>
    </w:p>
    <w:p w:rsidR="007109EF" w:rsidRPr="00FF4BF1" w:rsidRDefault="00386D4D" w:rsidP="00435120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Расчеты по заработной плате и другим выплатам оформляются в Расчетной ведомости</w:t>
      </w:r>
      <w:r w:rsidR="004351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386D4D" w:rsidP="00274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.План счетов</w:t>
      </w:r>
    </w:p>
    <w:p w:rsidR="007109EF" w:rsidRPr="00FF4BF1" w:rsidRDefault="00386D4D" w:rsidP="008615F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 с использованием Рабочего плана счетов,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отражении в бухучете хозяйственных операций 1–18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48"/>
        <w:gridCol w:w="7129"/>
      </w:tblGrid>
      <w:tr w:rsidR="00710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Default="00386D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 номера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Default="00386D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109EF" w:rsidRPr="005D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Default="00386D4D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0801 «Культура»</w:t>
            </w:r>
            <w:r w:rsidRPr="00FF4BF1">
              <w:rPr>
                <w:lang w:val="ru-RU"/>
              </w:rPr>
              <w:br/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</w:tr>
      <w:tr w:rsidR="00710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Default="00386D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остальных случаях – нули</w:t>
            </w:r>
          </w:p>
        </w:tc>
      </w:tr>
      <w:tr w:rsidR="007109EF" w:rsidRPr="005D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Default="00386D4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 вида расходов;</w:t>
            </w:r>
          </w:p>
          <w:p w:rsidR="007109EF" w:rsidRDefault="007109EF"/>
          <w:p w:rsidR="007109EF" w:rsidRPr="00FF4BF1" w:rsidRDefault="00386D4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7109EF" w:rsidRPr="005D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386D4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Pr="00FF4BF1" w:rsidRDefault="00386D4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Default="00386D4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– средства во временном распоряжении;</w:t>
            </w:r>
          </w:p>
          <w:p w:rsidR="007109EF" w:rsidRDefault="007109EF"/>
          <w:p w:rsidR="007109EF" w:rsidRPr="00FF4BF1" w:rsidRDefault="00386D4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7109EF" w:rsidRPr="00FF4BF1" w:rsidRDefault="007109EF">
            <w:pPr>
              <w:rPr>
                <w:lang w:val="ru-RU"/>
              </w:rPr>
            </w:pPr>
          </w:p>
          <w:p w:rsidR="007109EF" w:rsidRDefault="00386D4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субсидии на иные цели;</w:t>
            </w:r>
          </w:p>
          <w:p w:rsidR="007109EF" w:rsidRDefault="007109EF"/>
          <w:p w:rsidR="007109EF" w:rsidRPr="00FF4BF1" w:rsidRDefault="00386D4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 вложения</w:t>
            </w:r>
          </w:p>
        </w:tc>
      </w:tr>
      <w:tr w:rsidR="007109EF" w:rsidRPr="005D7843"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Pr="00FF4BF1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Pr="00FF4BF1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Инструкции № 174н.</w:t>
      </w:r>
    </w:p>
    <w:p w:rsidR="007109EF" w:rsidRPr="00FF4BF1" w:rsidRDefault="00386D4D" w:rsidP="008615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7109EF" w:rsidRPr="00FF4BF1" w:rsidRDefault="00386D4D" w:rsidP="00E37D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37D08" w:rsidRDefault="00386D4D" w:rsidP="00E37D0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Бухучет ведется по первичным документам, которые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 xml:space="preserve"> визируются  ответственными исполнителями ипроверяются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сотрудниками бухгалтерии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>.Перечень ответственных лиц оформляется приказом руководителя учреждения.</w:t>
      </w:r>
    </w:p>
    <w:p w:rsidR="007109EF" w:rsidRPr="00FF4BF1" w:rsidRDefault="00386D4D" w:rsidP="00E37D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7109EF" w:rsidRPr="00FF4BF1" w:rsidRDefault="00386D4D" w:rsidP="00E37D0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Учреждение учитывает в составе основных средств материальные 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месяцев, а также бесконтактные термометры, диспенсеры для антисептиков, </w:t>
      </w:r>
    </w:p>
    <w:p w:rsidR="00E37D08" w:rsidRDefault="00386D4D" w:rsidP="00E37D0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Уникальный инвентарный номер состоит из 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 xml:space="preserve">  восьми 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знаков и присваивается 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автоматически. 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Присвоенный объекту инвентарный номер 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 xml:space="preserve">наносится 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несмываемой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E37D08" w:rsidRDefault="00386D4D" w:rsidP="00E37D0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частичной ликвидации или разукомплектации объекта основного средства,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 w:rsidRPr="00E37D08">
        <w:rPr>
          <w:rFonts w:hAnsi="Times New Roman" w:cs="Times New Roman"/>
          <w:color w:val="000000"/>
          <w:sz w:val="24"/>
          <w:szCs w:val="24"/>
          <w:lang w:val="ru-RU"/>
        </w:rPr>
        <w:t>(в порядке убывания важности):</w:t>
      </w:r>
    </w:p>
    <w:p w:rsidR="007109EF" w:rsidRPr="00E37D08" w:rsidRDefault="00386D4D" w:rsidP="00A8368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7D08">
        <w:rPr>
          <w:rFonts w:hAnsi="Times New Roman" w:cs="Times New Roman"/>
          <w:color w:val="000000"/>
          <w:sz w:val="24"/>
          <w:szCs w:val="24"/>
          <w:lang w:val="ru-RU"/>
        </w:rPr>
        <w:t>площади;</w:t>
      </w:r>
    </w:p>
    <w:p w:rsidR="007109EF" w:rsidRPr="00E37D08" w:rsidRDefault="00386D4D" w:rsidP="00A8368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7D08">
        <w:rPr>
          <w:rFonts w:hAnsi="Times New Roman" w:cs="Times New Roman"/>
          <w:color w:val="000000"/>
          <w:sz w:val="24"/>
          <w:szCs w:val="24"/>
          <w:lang w:val="ru-RU"/>
        </w:rPr>
        <w:t>объему;</w:t>
      </w:r>
    </w:p>
    <w:p w:rsidR="007109EF" w:rsidRPr="00E37D08" w:rsidRDefault="00386D4D" w:rsidP="00A8368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7D08">
        <w:rPr>
          <w:rFonts w:hAnsi="Times New Roman" w:cs="Times New Roman"/>
          <w:color w:val="000000"/>
          <w:sz w:val="24"/>
          <w:szCs w:val="24"/>
          <w:lang w:val="ru-RU"/>
        </w:rPr>
        <w:t>весу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6281" w:rsidRDefault="00386D4D" w:rsidP="00CE62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Начисление амортизации осуществляется следующим образом:линейным методом</w:t>
      </w:r>
      <w:r w:rsidR="00E37D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36, 37 СГС «Основные средства».</w:t>
      </w:r>
    </w:p>
    <w:p w:rsidR="007109EF" w:rsidRPr="00FF4BF1" w:rsidRDefault="00386D4D" w:rsidP="00CE6281">
      <w:pPr>
        <w:ind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 Основание: пункт 41 СГС «Основные средства».</w:t>
      </w:r>
    </w:p>
    <w:p w:rsidR="007109EF" w:rsidRPr="00FF4BF1" w:rsidRDefault="00386D4D" w:rsidP="00CE628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Имущество, относящееся к категории особо ценного имущества (ОЦИ), определяет комиссия по поступлению и выбытию активов. </w:t>
      </w:r>
    </w:p>
    <w:p w:rsidR="007109EF" w:rsidRPr="00FF4BF1" w:rsidRDefault="00386D4D" w:rsidP="00A218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эксплуатации,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забалансовом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балансовой стоимости.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пункт 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пункт 373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7109EF" w:rsidRPr="00FF4BF1" w:rsidRDefault="00386D4D" w:rsidP="00A218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 приобретении и (или) создании основных средств за счет средств, полученных по разным видам деятельности, сумма вложений, сформированных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 государственного (муниципального) задания».</w:t>
      </w:r>
    </w:p>
    <w:p w:rsidR="007109EF" w:rsidRPr="00FF4BF1" w:rsidRDefault="00386D4D" w:rsidP="00A218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 кода вида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деятельности «2» на код вида деятельности «4». Одновременно переводится сумма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амортизации.</w:t>
      </w:r>
    </w:p>
    <w:p w:rsidR="007109EF" w:rsidRPr="00FF4BF1" w:rsidRDefault="00386D4D" w:rsidP="00A218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7109EF" w:rsidRPr="00FF4BF1" w:rsidRDefault="00386D4D" w:rsidP="00A218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Начисление амортизации осуществляется линейным методом</w:t>
      </w:r>
      <w:r w:rsidR="00A218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386D4D" w:rsidP="00A218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44 СГС «Нематериальные активы».</w:t>
      </w:r>
    </w:p>
    <w:p w:rsidR="007109EF" w:rsidRPr="00FF4BF1" w:rsidRDefault="00386D4D" w:rsidP="00A218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Материальные запасы</w:t>
      </w:r>
    </w:p>
    <w:p w:rsidR="007109EF" w:rsidRPr="00FF4BF1" w:rsidRDefault="00386D4D" w:rsidP="009F49D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</w:t>
      </w:r>
      <w:r w:rsidR="009F4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9F49D5" w:rsidP="009F49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М</w:t>
      </w:r>
      <w:r w:rsidR="00386D4D"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атериальные запасы списываются по средней фактической стоимостиОснование: пункт 108 Инструкции к Единому плану счетов № 157н.Единица учета </w:t>
      </w:r>
    </w:p>
    <w:p w:rsidR="007109EF" w:rsidRPr="00FF4BF1" w:rsidRDefault="00386D4D" w:rsidP="009F49D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на расходы горюче-смазочных материалов (ГСМ) разрабатываются </w:t>
      </w:r>
      <w:r w:rsidR="00701F1A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ответственным лицом 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утверждаются приказом руководителя учреждения.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не выше норм, установленных приказом руководителя.</w:t>
      </w:r>
    </w:p>
    <w:p w:rsidR="007109EF" w:rsidRPr="00FF4BF1" w:rsidRDefault="00386D4D" w:rsidP="009F49D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</w:t>
      </w:r>
    </w:p>
    <w:p w:rsidR="007109EF" w:rsidRPr="00FF4BF1" w:rsidRDefault="00386D4D" w:rsidP="009F49D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приобретении и (или) создании материальных запасов за счет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полученных по разным видам деятельности, сумма вложений, сформированных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КБК Х.106.00.000, переводится на код вида деятельности 4 «субсидии на выполнение государственного (муниципального) задания».</w:t>
      </w:r>
    </w:p>
    <w:p w:rsidR="007109EF" w:rsidRPr="00FF4BF1" w:rsidRDefault="00386D4D" w:rsidP="009F49D5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Фактическая стоимость материальных запасов, полученных в результате ремонта, разборки, утилизации (ликвидации)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 или иного 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определяется исходя из следующих факторов:</w:t>
      </w:r>
    </w:p>
    <w:p w:rsidR="007109EF" w:rsidRPr="00FF4BF1" w:rsidRDefault="00386D4D" w:rsidP="00A8368C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рассчитанной методом рыночных цен;</w:t>
      </w:r>
    </w:p>
    <w:p w:rsidR="007109EF" w:rsidRPr="00FF4BF1" w:rsidRDefault="00386D4D" w:rsidP="00A8368C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приведение их в состояние, пригодное для использования.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7109EF" w:rsidRPr="00FF4BF1" w:rsidRDefault="00386D4D" w:rsidP="009F49D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(сценические костюмы, декорации) изготавливаются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нужд учреждения и принимаются к учету по фактической стоимости</w:t>
      </w:r>
      <w:r w:rsidR="00701F1A">
        <w:rPr>
          <w:rFonts w:hAnsi="Times New Roman" w:cs="Times New Roman"/>
          <w:color w:val="000000"/>
          <w:sz w:val="24"/>
          <w:szCs w:val="24"/>
          <w:lang w:val="ru-RU"/>
        </w:rPr>
        <w:t xml:space="preserve"> затраченных материалов.</w:t>
      </w:r>
    </w:p>
    <w:p w:rsidR="007109EF" w:rsidRPr="00FF4BF1" w:rsidRDefault="00386D4D" w:rsidP="00701F1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7109EF" w:rsidRPr="00FF4BF1" w:rsidRDefault="00386D4D" w:rsidP="000C3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Стоимость безвозмездно полученных нефинансовых активов</w:t>
      </w:r>
    </w:p>
    <w:p w:rsidR="007109EF" w:rsidRPr="00FF4BF1" w:rsidRDefault="00386D4D" w:rsidP="000C326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Данные о справедливой стоимости безвозмездно полученных нефинансовых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активов должны подтверждаться:</w:t>
      </w:r>
    </w:p>
    <w:p w:rsidR="007109EF" w:rsidRPr="00FF4BF1" w:rsidRDefault="00386D4D" w:rsidP="00A8368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7109EF" w:rsidRDefault="00386D4D" w:rsidP="00A8368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прайслистами заводов-изготовителей;</w:t>
      </w:r>
    </w:p>
    <w:p w:rsidR="007109EF" w:rsidRPr="00FF4BF1" w:rsidRDefault="00386D4D" w:rsidP="00A8368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спраками (другими подтверждающими документами) оценщиков;</w:t>
      </w:r>
    </w:p>
    <w:p w:rsidR="007109EF" w:rsidRPr="00FF4BF1" w:rsidRDefault="00386D4D" w:rsidP="00A8368C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7109EF" w:rsidRPr="00FF4BF1" w:rsidRDefault="00386D4D" w:rsidP="000C3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Затраты на изготовление готовой продукции, выполнение работ, оказание услуг</w:t>
      </w:r>
    </w:p>
    <w:p w:rsidR="007109EF" w:rsidRPr="00FF4BF1" w:rsidRDefault="00386D4D" w:rsidP="000C326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 расходов по формированию себестоимости ведется</w:t>
      </w:r>
      <w:r w:rsidR="000C326E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разбивки по видам услуг</w:t>
      </w:r>
      <w:r w:rsidR="00701F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386D4D" w:rsidP="000C326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Затраты на оказание услуг (изготовление готовой продукции) делятся на прямые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7109EF" w:rsidRPr="00FF4BF1" w:rsidRDefault="00386D4D" w:rsidP="00E763A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Накладные расходы </w:t>
      </w:r>
      <w:proofErr w:type="gramStart"/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распределяются 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окончании </w:t>
      </w:r>
      <w:r w:rsidR="00E763A0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701F1A">
        <w:rPr>
          <w:rFonts w:hAnsi="Times New Roman" w:cs="Times New Roman"/>
          <w:color w:val="000000"/>
          <w:sz w:val="24"/>
          <w:szCs w:val="24"/>
          <w:lang w:val="ru-RU"/>
        </w:rPr>
        <w:t>закрываются</w:t>
      </w:r>
      <w:proofErr w:type="gramEnd"/>
      <w:r w:rsidR="00E763A0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прямые расходы в полном объеме.</w:t>
      </w:r>
    </w:p>
    <w:p w:rsidR="007109EF" w:rsidRPr="00FF4BF1" w:rsidRDefault="00386D4D" w:rsidP="00E763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Расчеты с подотчетными лицами</w:t>
      </w:r>
    </w:p>
    <w:p w:rsidR="007109EF" w:rsidRPr="00E763A0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7.1. Денежные средства выдаются под отчет на служебной записки, согласованной с руководителем. </w:t>
      </w:r>
      <w:r w:rsidRPr="00E763A0">
        <w:rPr>
          <w:rFonts w:hAnsi="Times New Roman" w:cs="Times New Roman"/>
          <w:color w:val="000000"/>
          <w:sz w:val="24"/>
          <w:szCs w:val="24"/>
          <w:lang w:val="ru-RU"/>
        </w:rPr>
        <w:t>Выдача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A0">
        <w:rPr>
          <w:rFonts w:hAnsi="Times New Roman" w:cs="Times New Roman"/>
          <w:color w:val="000000"/>
          <w:sz w:val="24"/>
          <w:szCs w:val="24"/>
          <w:lang w:val="ru-RU"/>
        </w:rPr>
        <w:t>средств под отчет производится путем:</w:t>
      </w:r>
    </w:p>
    <w:p w:rsidR="007109EF" w:rsidRPr="00FF4BF1" w:rsidRDefault="00386D4D" w:rsidP="00A8368C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выдачи из кассы. При этом выплаты подотчетных сумм сотрудникам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производятся в 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7109EF" w:rsidRPr="00FF4BF1" w:rsidRDefault="00386D4D" w:rsidP="00A8368C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</w:t>
      </w:r>
      <w:r w:rsidR="00701F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386D4D" w:rsidP="00E763A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При направлении сотрудников учреждения в 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 них возмещаются в размере, установленном 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оформления служебных командировок</w:t>
      </w:r>
      <w:r w:rsidR="00E763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FF4BF1" w:rsidRDefault="00386D4D" w:rsidP="00A17C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7109EF" w:rsidRPr="00FF4BF1" w:rsidRDefault="00386D4D" w:rsidP="00A17C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Предельные сроки отчета по выданным доверенностям на получение материальных ценностей устанавливаются следующие: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109EF" w:rsidRPr="00FF4BF1" w:rsidRDefault="00386D4D" w:rsidP="00A1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 дебиторами и кредиторами</w:t>
      </w:r>
    </w:p>
    <w:p w:rsidR="007109EF" w:rsidRPr="00FF4BF1" w:rsidRDefault="00386D4D" w:rsidP="00A17C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от виновных лиц в возмещение ущерба, причиненного нефинансовым активам, отражаются по коду вида деятельности «2» – приносящая доход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деятельность (собственные доходы учреждения).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109EF" w:rsidRPr="00FF4BF1" w:rsidRDefault="00386D4D" w:rsidP="00A17C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</w:t>
      </w:r>
      <w:r w:rsidR="00A17C7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109EF" w:rsidRPr="003E097A" w:rsidRDefault="00386D4D" w:rsidP="003E09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по обязательствам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расчетов по пособиям и 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 – получателей социальных выплат.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Аналитический учет расчетов по оплате труда ведется в 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 которыми заключены гражданско-правовые договоры.</w:t>
      </w:r>
    </w:p>
    <w:p w:rsidR="007109EF" w:rsidRPr="00FF4BF1" w:rsidRDefault="00386D4D" w:rsidP="003E09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Дебиторская и кредиторская задолженность</w:t>
      </w:r>
    </w:p>
    <w:p w:rsidR="007109EF" w:rsidRPr="00FF4BF1" w:rsidRDefault="00386D4D" w:rsidP="003E097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задолженности сомнительной и безнадежной к взысканию.</w:t>
      </w:r>
      <w:r w:rsidRPr="00FF4BF1">
        <w:rPr>
          <w:lang w:val="ru-RU"/>
        </w:rPr>
        <w:br/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339 Инструкции к Единому плану счетов № 157н, пункт 11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7109EF" w:rsidRPr="00FF4BF1" w:rsidRDefault="00386D4D" w:rsidP="003E097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востребованной кредиторами.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востребованная кредиторами».</w:t>
      </w:r>
    </w:p>
    <w:p w:rsidR="007109EF" w:rsidRPr="00FF4BF1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Списание задолженности с забалансового учета осуществляется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задолженности на основании решения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учреждения:</w:t>
      </w:r>
    </w:p>
    <w:p w:rsidR="007109EF" w:rsidRPr="00FF4BF1" w:rsidRDefault="00386D4D" w:rsidP="00A8368C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 истечении пяти лет отражения задолженности на забалансовом учете;</w:t>
      </w:r>
    </w:p>
    <w:p w:rsidR="007109EF" w:rsidRPr="00FF4BF1" w:rsidRDefault="00386D4D" w:rsidP="00A8368C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BF1">
        <w:rPr>
          <w:rFonts w:hAnsi="Times New Roman" w:cs="Times New Roman"/>
          <w:color w:val="000000"/>
          <w:sz w:val="24"/>
          <w:szCs w:val="24"/>
          <w:lang w:val="ru-RU"/>
        </w:rPr>
        <w:t>задолженности согласно действующему законодательству;</w:t>
      </w:r>
    </w:p>
    <w:p w:rsidR="007109EF" w:rsidRDefault="00386D4D" w:rsidP="00A8368C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при наличии документов, подтверждающих прекращение обязательства в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 xml:space="preserve">со смертью </w:t>
      </w:r>
      <w:r>
        <w:rPr>
          <w:rFonts w:hAnsi="Times New Roman" w:cs="Times New Roman"/>
          <w:color w:val="000000"/>
          <w:sz w:val="24"/>
          <w:szCs w:val="24"/>
        </w:rPr>
        <w:t>(ликвидацией) контрагента.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7109EF" w:rsidRPr="00386D4D" w:rsidRDefault="00386D4D" w:rsidP="003E09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Финансовый результат</w:t>
      </w:r>
    </w:p>
    <w:p w:rsidR="007109EF" w:rsidRPr="00386D4D" w:rsidRDefault="003E097A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86D4D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386D4D">
        <w:rPr>
          <w:rFonts w:hAnsi="Times New Roman" w:cs="Times New Roman"/>
          <w:color w:val="000000"/>
          <w:sz w:val="24"/>
          <w:szCs w:val="24"/>
          <w:lang w:val="ru-RU"/>
        </w:rPr>
        <w:t>Доходы от предоставления права пользования активом (арендная плата)</w:t>
      </w:r>
      <w:r w:rsidR="00386D4D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386D4D">
        <w:rPr>
          <w:rFonts w:hAnsi="Times New Roman" w:cs="Times New Roman"/>
          <w:color w:val="000000"/>
          <w:sz w:val="24"/>
          <w:szCs w:val="24"/>
          <w:lang w:val="ru-RU"/>
        </w:rPr>
        <w:t>признается доходами текущего финансового года с одновременным уменьшением</w:t>
      </w:r>
      <w:r w:rsidR="00386D4D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386D4D">
        <w:rPr>
          <w:rFonts w:hAnsi="Times New Roman" w:cs="Times New Roman"/>
          <w:color w:val="000000"/>
          <w:sz w:val="24"/>
          <w:szCs w:val="24"/>
          <w:lang w:val="ru-RU"/>
        </w:rPr>
        <w:t>предстоящих доходов равномерно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="00386D4D" w:rsidRPr="00386D4D">
        <w:rPr>
          <w:rFonts w:hAnsi="Times New Roman" w:cs="Times New Roman"/>
          <w:color w:val="000000"/>
          <w:sz w:val="24"/>
          <w:szCs w:val="24"/>
          <w:lang w:val="ru-RU"/>
        </w:rPr>
        <w:t>) на протяжении срока пользования</w:t>
      </w:r>
      <w:r w:rsidR="00386D4D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386D4D">
        <w:rPr>
          <w:rFonts w:hAnsi="Times New Roman" w:cs="Times New Roman"/>
          <w:color w:val="000000"/>
          <w:sz w:val="24"/>
          <w:szCs w:val="24"/>
          <w:lang w:val="ru-RU"/>
        </w:rPr>
        <w:t>объектом учета аренды. Основание: пункт 25 СГС «Аренда», подпункт «а» пункта 55 СГС «Доходы».</w:t>
      </w:r>
    </w:p>
    <w:p w:rsidR="007109EF" w:rsidRPr="003E097A" w:rsidRDefault="00386D4D" w:rsidP="003E097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Pr="00386D4D">
        <w:rPr>
          <w:lang w:val="ru-RU"/>
        </w:rPr>
        <w:br/>
      </w:r>
      <w:r w:rsidRPr="003E097A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 СГС «Долгосрочные договоры».</w:t>
      </w:r>
    </w:p>
    <w:p w:rsidR="007109EF" w:rsidRPr="003E097A" w:rsidRDefault="00386D4D" w:rsidP="003E097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97A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Доходы текущего года начисляются:</w:t>
      </w:r>
    </w:p>
    <w:p w:rsidR="007109EF" w:rsidRPr="00386D4D" w:rsidRDefault="00386D4D" w:rsidP="00A8368C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7109EF" w:rsidRPr="00386D4D" w:rsidRDefault="00386D4D" w:rsidP="00A8368C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от продажи билетовежемесячно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месяца;</w:t>
      </w:r>
    </w:p>
    <w:p w:rsidR="007109EF" w:rsidRPr="00386D4D" w:rsidRDefault="00386D4D" w:rsidP="00A8368C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7109EF" w:rsidRPr="00386D4D" w:rsidRDefault="00386D4D" w:rsidP="00A8368C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возмещения ущерба – на дату обнаружения ущерба денежным средствам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 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7109EF" w:rsidRPr="00386D4D" w:rsidRDefault="00386D4D" w:rsidP="00A8368C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7109EF" w:rsidRPr="00386D4D" w:rsidRDefault="00386D4D" w:rsidP="00A8368C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</w:t>
      </w:r>
      <w:r w:rsidR="003E09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9EF" w:rsidRPr="00386D4D" w:rsidRDefault="00386D4D" w:rsidP="003E097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Учреждение осуществляет все расходы в пределах установленных норм и утвержденного на текущий год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деятельности:</w:t>
      </w:r>
    </w:p>
    <w:p w:rsidR="007109EF" w:rsidRPr="00386D4D" w:rsidRDefault="00386D4D" w:rsidP="00A8368C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в Интернет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фактическому расходу;</w:t>
      </w:r>
    </w:p>
    <w:p w:rsidR="003E097A" w:rsidRDefault="00386D4D" w:rsidP="003E097A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97A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пользование услугами сотовой связи – по </w:t>
      </w:r>
      <w:r w:rsidR="003E097A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фактическому расходу</w:t>
      </w:r>
      <w:r w:rsidR="00701F1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109EF" w:rsidRPr="003E097A" w:rsidRDefault="003E097A" w:rsidP="003E097A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86D4D" w:rsidRPr="003E097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составе расходов будущих периодов на счете КБК</w:t>
      </w:r>
      <w:r w:rsidR="00386D4D" w:rsidRPr="003E097A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3E097A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</w:t>
      </w:r>
      <w:r w:rsidR="00386D4D" w:rsidRPr="003E097A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3E097A">
        <w:rPr>
          <w:rFonts w:hAnsi="Times New Roman" w:cs="Times New Roman"/>
          <w:color w:val="000000"/>
          <w:sz w:val="24"/>
          <w:szCs w:val="24"/>
          <w:lang w:val="ru-RU"/>
        </w:rPr>
        <w:t>будущих периодов» отражаются расходы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начислению </w:t>
      </w:r>
      <w:r w:rsidR="00386D4D" w:rsidRPr="003E097A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7109EF" w:rsidRPr="005D5532" w:rsidRDefault="00386D4D" w:rsidP="005D5532">
      <w:pPr>
        <w:ind w:firstLine="420"/>
        <w:jc w:val="both"/>
        <w:rPr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Вучреждении создаются:резерв расходов по выплатам персоналу.  Основание: пункты 302, 302.1 Инструкции к Единому плану счетов № 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 xml:space="preserve">СГС </w:t>
      </w:r>
      <w:bookmarkStart w:id="0" w:name="_GoBack"/>
      <w:bookmarkEnd w:id="0"/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«Резервы».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целевых субсидий по соглашению, заключенному на срок более года, учреждение отражает на счетах:</w:t>
      </w:r>
    </w:p>
    <w:p w:rsidR="007109EF" w:rsidRPr="00386D4D" w:rsidRDefault="00386D4D" w:rsidP="00A8368C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7109EF" w:rsidRPr="00386D4D" w:rsidRDefault="00386D4D" w:rsidP="00A8368C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7109EF" w:rsidRPr="00386D4D" w:rsidRDefault="00F40F1B" w:rsidP="00701F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 w:rsidR="00386D4D"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Представительские расходы</w:t>
      </w:r>
    </w:p>
    <w:p w:rsidR="005D5532" w:rsidRDefault="00386D4D" w:rsidP="00701F1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</w:t>
      </w:r>
      <w:r w:rsidR="005D5532">
        <w:rPr>
          <w:rFonts w:hAnsi="Times New Roman" w:cs="Times New Roman"/>
          <w:color w:val="000000"/>
          <w:sz w:val="24"/>
          <w:szCs w:val="24"/>
          <w:lang w:val="ru-RU"/>
        </w:rPr>
        <w:t>, проведение фестивалей и конкурсов, а такжеработа с волонтерами.</w:t>
      </w:r>
    </w:p>
    <w:p w:rsidR="005D5532" w:rsidRDefault="005D5532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09EF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109EF" w:rsidRPr="00386D4D" w:rsidRDefault="00386D4D" w:rsidP="00A8368C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7109EF" w:rsidRPr="00386D4D" w:rsidRDefault="00386D4D" w:rsidP="00A8368C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7109EF" w:rsidRDefault="00386D4D" w:rsidP="00A8368C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участников канцелярскими принадлежностями;</w:t>
      </w:r>
    </w:p>
    <w:p w:rsidR="007109EF" w:rsidRPr="00386D4D" w:rsidRDefault="00386D4D" w:rsidP="00A8368C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7109EF" w:rsidRPr="00386D4D" w:rsidRDefault="00386D4D" w:rsidP="005D553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Документами, подтверждающими обоснованность представительских расходов, являются:</w:t>
      </w:r>
    </w:p>
    <w:p w:rsidR="007109EF" w:rsidRPr="00386D4D" w:rsidRDefault="00386D4D" w:rsidP="005D5532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7109EF" w:rsidRPr="00386D4D" w:rsidRDefault="00F40F1B" w:rsidP="005D55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="00386D4D"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Бланки строгой отчетности</w:t>
      </w:r>
    </w:p>
    <w:p w:rsidR="007109EF" w:rsidRPr="00386D4D" w:rsidRDefault="00386D4D" w:rsidP="005D55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В деятельности учреждения</w:t>
      </w:r>
      <w:r w:rsidR="005D553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реализация билетов производится билетным оператором ООО «Городские зрелищные кассы»</w:t>
      </w:r>
    </w:p>
    <w:p w:rsidR="007109EF" w:rsidRPr="00386D4D" w:rsidRDefault="00386D4D" w:rsidP="005D553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 xml:space="preserve">Бланки строгой отчетности учитываются на </w:t>
      </w:r>
      <w:proofErr w:type="spellStart"/>
      <w:r w:rsidR="005D5532">
        <w:rPr>
          <w:rFonts w:hAnsi="Times New Roman" w:cs="Times New Roman"/>
          <w:color w:val="000000"/>
          <w:sz w:val="24"/>
          <w:szCs w:val="24"/>
          <w:lang w:val="ru-RU"/>
        </w:rPr>
        <w:t>забалансовомсчете</w:t>
      </w:r>
      <w:proofErr w:type="spellEnd"/>
      <w:r w:rsidR="005D5532">
        <w:rPr>
          <w:rFonts w:hAnsi="Times New Roman" w:cs="Times New Roman"/>
          <w:color w:val="000000"/>
          <w:sz w:val="24"/>
          <w:szCs w:val="24"/>
          <w:lang w:val="ru-RU"/>
        </w:rPr>
        <w:t xml:space="preserve"> 03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109EF" w:rsidRPr="00386D4D" w:rsidRDefault="00386D4D" w:rsidP="005D55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5D5532" w:rsidRDefault="00386D4D" w:rsidP="00DA05A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Инвентаризацию имущества и обязательств (в том числе числящихся на забалансовых счетах), а также финансовых результатов (в т. ч.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 проведения инвентаризации </w:t>
      </w:r>
      <w:r w:rsidR="005D5532">
        <w:rPr>
          <w:rFonts w:hAnsi="Times New Roman" w:cs="Times New Roman"/>
          <w:color w:val="000000"/>
          <w:sz w:val="24"/>
          <w:szCs w:val="24"/>
          <w:lang w:val="ru-RU"/>
        </w:rPr>
        <w:t>определяется приказом руководителя учреждения.</w:t>
      </w:r>
    </w:p>
    <w:p w:rsidR="007109EF" w:rsidRPr="00386D4D" w:rsidRDefault="00386D4D" w:rsidP="005D55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7109EF" w:rsidRPr="00386D4D" w:rsidRDefault="00386D4D" w:rsidP="005D553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Внутренний финансовый контроль в учреждении осуществляет комиссия.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7109EF" w:rsidRDefault="00386D4D" w:rsidP="00A8368C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руководителя учреждения, его заместители;</w:t>
      </w:r>
    </w:p>
    <w:p w:rsidR="007109EF" w:rsidRDefault="00386D4D" w:rsidP="00A8368C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7109EF" w:rsidRPr="00386D4D" w:rsidRDefault="00386D4D" w:rsidP="00A8368C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7109EF" w:rsidRPr="00386D4D" w:rsidRDefault="00386D4D" w:rsidP="00A8368C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7109EF" w:rsidRPr="00386D4D" w:rsidRDefault="00386D4D" w:rsidP="00A8368C">
      <w:pPr>
        <w:numPr>
          <w:ilvl w:val="0"/>
          <w:numId w:val="4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7109EF" w:rsidRPr="00386D4D" w:rsidRDefault="00386D4D" w:rsidP="005D55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:rsidR="003D008B" w:rsidRDefault="005D5532" w:rsidP="003D008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6D4D" w:rsidRPr="00386D4D">
        <w:rPr>
          <w:rFonts w:hAnsi="Times New Roman" w:cs="Times New Roman"/>
          <w:color w:val="000000"/>
          <w:sz w:val="24"/>
          <w:szCs w:val="24"/>
          <w:lang w:val="ru-RU"/>
        </w:rPr>
        <w:t>рокипредставления</w:t>
      </w:r>
      <w:r w:rsidR="00386D4D">
        <w:rPr>
          <w:rFonts w:hAnsi="Times New Roman" w:cs="Times New Roman"/>
          <w:color w:val="000000"/>
          <w:sz w:val="24"/>
          <w:szCs w:val="24"/>
        </w:rPr>
        <w:t> </w:t>
      </w:r>
      <w:r w:rsidR="00386D4D" w:rsidRPr="00386D4D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отчетности устанавливается вышестоящей организацией. </w:t>
      </w:r>
    </w:p>
    <w:p w:rsidR="007109EF" w:rsidRPr="00386D4D" w:rsidRDefault="00386D4D" w:rsidP="003D008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Бухгалтерская отчетность формируется и хранится</w:t>
      </w:r>
      <w:r w:rsidR="003D008B">
        <w:rPr>
          <w:rFonts w:hAnsi="Times New Roman" w:cs="Times New Roman"/>
          <w:color w:val="000000"/>
          <w:sz w:val="24"/>
          <w:szCs w:val="24"/>
          <w:lang w:val="ru-RU"/>
        </w:rPr>
        <w:t xml:space="preserve"> на бумажных 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 Основание: часть 7.1 статьи 13 Закона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7109EF" w:rsidRPr="00386D4D" w:rsidRDefault="00386D4D" w:rsidP="003D00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386D4D">
        <w:rPr>
          <w:lang w:val="ru-RU"/>
        </w:rPr>
        <w:br/>
      </w:r>
      <w:r w:rsidRPr="00386D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лица) они обязаны в рамках передачи дел заместителю, новому должностному лицу,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иному уполномоченному должностному лицу учреждения (далее – уполномоченное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лицо) передать документы бухгалтерского учета, а также печати и штампы, хранящиеся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в бухгалтерии.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Передача бухгалтерских документов и печатей проводится на основании приказа руководителя учреждения или Управления культуры, осуществляющего функции и полномочия учредителя (далее – учредитель).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комиссии, создаваемой в учреждении.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 прилагается перечень передаваемых документов, с указанием их количества и типа.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 соответствии с приказом на передачу бухгалтерских документов.</w:t>
      </w:r>
    </w:p>
    <w:p w:rsidR="007109EF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оборотные ведомости, карточки, журналы операций;</w:t>
      </w:r>
    </w:p>
    <w:p w:rsidR="007109EF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налоговые регистры;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акты, счета-фактуры, товарные накладные и т. д.;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 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7109EF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акты ревизий и проверок;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 правоохранительные органы;</w:t>
      </w:r>
    </w:p>
    <w:p w:rsidR="007109EF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договоры с кредитными организациями;</w:t>
      </w:r>
    </w:p>
    <w:p w:rsidR="007109EF" w:rsidRDefault="00386D4D" w:rsidP="00A8368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7109EF" w:rsidRPr="00386D4D" w:rsidRDefault="00386D4D" w:rsidP="00A8368C">
      <w:pPr>
        <w:numPr>
          <w:ilvl w:val="0"/>
          <w:numId w:val="4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по объему замечания допускается фиксировать на самом акте.</w:t>
      </w:r>
    </w:p>
    <w:p w:rsidR="007109EF" w:rsidRPr="00386D4D" w:rsidRDefault="00386D4D" w:rsidP="00A836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7109EF" w:rsidRPr="003D008B" w:rsidRDefault="00386D4D" w:rsidP="003D00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D4D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2"/>
        <w:gridCol w:w="1817"/>
        <w:gridCol w:w="3308"/>
      </w:tblGrid>
      <w:tr w:rsidR="007109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109EF" w:rsidRPr="003D008B" w:rsidRDefault="00386D4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9EF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109EF" w:rsidRPr="003D008B" w:rsidRDefault="003D00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М.В.Грушина</w:t>
            </w:r>
          </w:p>
        </w:tc>
      </w:tr>
      <w:tr w:rsidR="007109EF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9EF" w:rsidRDefault="00710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9EF" w:rsidRDefault="007109EF">
      <w:pPr>
        <w:rPr>
          <w:rFonts w:hAnsi="Times New Roman" w:cs="Times New Roman"/>
          <w:color w:val="000000"/>
          <w:sz w:val="24"/>
          <w:szCs w:val="24"/>
        </w:rPr>
      </w:pPr>
    </w:p>
    <w:sectPr w:rsidR="007109EF" w:rsidSect="00C73D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1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D3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90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A33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12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15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C6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96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66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D0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14E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D7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35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5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34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11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577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02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06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43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34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40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80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B1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3E2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B1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9C2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05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C1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41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C4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B5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E5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25C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1619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1B7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814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66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34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73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B03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C1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331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28"/>
  </w:num>
  <w:num w:numId="5">
    <w:abstractNumId w:val="21"/>
  </w:num>
  <w:num w:numId="6">
    <w:abstractNumId w:val="38"/>
  </w:num>
  <w:num w:numId="7">
    <w:abstractNumId w:val="43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34"/>
  </w:num>
  <w:num w:numId="13">
    <w:abstractNumId w:val="23"/>
  </w:num>
  <w:num w:numId="14">
    <w:abstractNumId w:val="26"/>
  </w:num>
  <w:num w:numId="15">
    <w:abstractNumId w:val="35"/>
  </w:num>
  <w:num w:numId="16">
    <w:abstractNumId w:val="24"/>
  </w:num>
  <w:num w:numId="17">
    <w:abstractNumId w:val="2"/>
  </w:num>
  <w:num w:numId="18">
    <w:abstractNumId w:val="5"/>
  </w:num>
  <w:num w:numId="19">
    <w:abstractNumId w:val="17"/>
  </w:num>
  <w:num w:numId="20">
    <w:abstractNumId w:val="7"/>
  </w:num>
  <w:num w:numId="21">
    <w:abstractNumId w:val="40"/>
  </w:num>
  <w:num w:numId="22">
    <w:abstractNumId w:val="33"/>
  </w:num>
  <w:num w:numId="23">
    <w:abstractNumId w:val="10"/>
  </w:num>
  <w:num w:numId="24">
    <w:abstractNumId w:val="6"/>
  </w:num>
  <w:num w:numId="25">
    <w:abstractNumId w:val="19"/>
  </w:num>
  <w:num w:numId="26">
    <w:abstractNumId w:val="25"/>
  </w:num>
  <w:num w:numId="27">
    <w:abstractNumId w:val="42"/>
  </w:num>
  <w:num w:numId="28">
    <w:abstractNumId w:val="30"/>
  </w:num>
  <w:num w:numId="29">
    <w:abstractNumId w:val="4"/>
  </w:num>
  <w:num w:numId="30">
    <w:abstractNumId w:val="0"/>
  </w:num>
  <w:num w:numId="31">
    <w:abstractNumId w:val="32"/>
  </w:num>
  <w:num w:numId="32">
    <w:abstractNumId w:val="9"/>
  </w:num>
  <w:num w:numId="33">
    <w:abstractNumId w:val="8"/>
  </w:num>
  <w:num w:numId="34">
    <w:abstractNumId w:val="15"/>
  </w:num>
  <w:num w:numId="35">
    <w:abstractNumId w:val="20"/>
  </w:num>
  <w:num w:numId="36">
    <w:abstractNumId w:val="39"/>
  </w:num>
  <w:num w:numId="37">
    <w:abstractNumId w:val="37"/>
  </w:num>
  <w:num w:numId="38">
    <w:abstractNumId w:val="41"/>
  </w:num>
  <w:num w:numId="39">
    <w:abstractNumId w:val="36"/>
  </w:num>
  <w:num w:numId="40">
    <w:abstractNumId w:val="1"/>
  </w:num>
  <w:num w:numId="41">
    <w:abstractNumId w:val="29"/>
  </w:num>
  <w:num w:numId="42">
    <w:abstractNumId w:val="31"/>
  </w:num>
  <w:num w:numId="43">
    <w:abstractNumId w:val="1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326E"/>
    <w:rsid w:val="002141A7"/>
    <w:rsid w:val="00216BBE"/>
    <w:rsid w:val="0027413A"/>
    <w:rsid w:val="002D33B1"/>
    <w:rsid w:val="002D3591"/>
    <w:rsid w:val="003514A0"/>
    <w:rsid w:val="00386D4D"/>
    <w:rsid w:val="003D008B"/>
    <w:rsid w:val="003E097A"/>
    <w:rsid w:val="00435120"/>
    <w:rsid w:val="004F7E17"/>
    <w:rsid w:val="005A05CE"/>
    <w:rsid w:val="005D5532"/>
    <w:rsid w:val="005D7843"/>
    <w:rsid w:val="0063431B"/>
    <w:rsid w:val="00653AF6"/>
    <w:rsid w:val="00701F1A"/>
    <w:rsid w:val="007109EF"/>
    <w:rsid w:val="0074744C"/>
    <w:rsid w:val="008615F5"/>
    <w:rsid w:val="009F49D5"/>
    <w:rsid w:val="00A04124"/>
    <w:rsid w:val="00A17C79"/>
    <w:rsid w:val="00A21807"/>
    <w:rsid w:val="00A8368C"/>
    <w:rsid w:val="00AE032F"/>
    <w:rsid w:val="00B544C5"/>
    <w:rsid w:val="00B73A5A"/>
    <w:rsid w:val="00C73D79"/>
    <w:rsid w:val="00CE6281"/>
    <w:rsid w:val="00DA05A0"/>
    <w:rsid w:val="00E37D08"/>
    <w:rsid w:val="00E438A1"/>
    <w:rsid w:val="00E763A0"/>
    <w:rsid w:val="00F01E19"/>
    <w:rsid w:val="00F40F1B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16BBE"/>
    <w:pPr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printable">
    <w:name w:val="printable"/>
    <w:basedOn w:val="a0"/>
    <w:rsid w:val="00216BBE"/>
  </w:style>
  <w:style w:type="table" w:customStyle="1" w:styleId="GridTableLight">
    <w:name w:val="Grid Table Light"/>
    <w:basedOn w:val="a1"/>
    <w:uiPriority w:val="40"/>
    <w:rsid w:val="0063431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8D10-4D69-4AA0-982E-F1D01435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:description>Подготовлено экспертами Актион-МЦФЭР</dc:description>
  <cp:lastModifiedBy>Пользователь</cp:lastModifiedBy>
  <cp:revision>10</cp:revision>
  <dcterms:created xsi:type="dcterms:W3CDTF">2021-10-18T16:40:00Z</dcterms:created>
  <dcterms:modified xsi:type="dcterms:W3CDTF">2021-10-19T05:25:00Z</dcterms:modified>
</cp:coreProperties>
</file>